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rPr>
          <w:rFonts w:ascii="方正黑体_GBK" w:hAnsi="楷体" w:eastAsia="方正黑体_GBK"/>
          <w:sz w:val="32"/>
          <w:szCs w:val="32"/>
        </w:rPr>
      </w:pPr>
      <w:bookmarkStart w:id="2" w:name="_GoBack"/>
      <w:bookmarkEnd w:id="2"/>
      <w:bookmarkStart w:id="0" w:name="_Hlk10494765"/>
      <w:r>
        <w:rPr>
          <w:rFonts w:hint="eastAsia" w:ascii="方正黑体_GBK" w:hAnsi="楷体" w:eastAsia="方正黑体_GBK"/>
          <w:sz w:val="32"/>
          <w:szCs w:val="32"/>
        </w:rPr>
        <w:t>附件</w:t>
      </w:r>
      <w:r>
        <w:rPr>
          <w:rFonts w:ascii="方正黑体_GBK" w:hAnsi="楷体" w:eastAsia="方正黑体_GBK"/>
          <w:sz w:val="32"/>
          <w:szCs w:val="32"/>
        </w:rPr>
        <w:t>2</w:t>
      </w:r>
    </w:p>
    <w:p>
      <w:pPr>
        <w:spacing w:line="600" w:lineRule="exact"/>
        <w:jc w:val="center"/>
        <w:rPr>
          <w:rFonts w:hint="eastAsia" w:ascii="方正小标宋_GBK" w:hAnsi="宋体" w:eastAsia="方正小标宋_GBK"/>
          <w:sz w:val="44"/>
          <w:szCs w:val="44"/>
        </w:rPr>
      </w:pP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2021年安徽省中等职业学校教师教育教学</w:t>
      </w:r>
    </w:p>
    <w:p>
      <w:pPr>
        <w:spacing w:line="600" w:lineRule="exact"/>
        <w:jc w:val="center"/>
        <w:rPr>
          <w:rFonts w:hint="eastAsia" w:ascii="方正小标宋_GBK" w:hAnsi="宋体" w:eastAsia="方正小标宋_GBK"/>
          <w:sz w:val="44"/>
          <w:szCs w:val="44"/>
          <w:lang w:eastAsia="zh-CN"/>
        </w:rPr>
      </w:pPr>
      <w:r>
        <w:rPr>
          <w:rFonts w:hint="eastAsia" w:ascii="方正小标宋_GBK" w:hAnsi="宋体" w:eastAsia="方正小标宋_GBK"/>
          <w:sz w:val="44"/>
          <w:szCs w:val="44"/>
        </w:rPr>
        <w:t>技能竞赛暨全国职业院校</w:t>
      </w:r>
      <w:r>
        <w:rPr>
          <w:rFonts w:hint="eastAsia" w:ascii="方正小标宋_GBK" w:hAnsi="宋体" w:eastAsia="方正小标宋_GBK"/>
          <w:sz w:val="44"/>
          <w:szCs w:val="44"/>
          <w:lang w:eastAsia="zh-CN"/>
        </w:rPr>
        <w:t>技能大赛</w:t>
      </w: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lang w:eastAsia="zh-CN"/>
        </w:rPr>
        <w:t>教学能力和班主任业务能力</w:t>
      </w:r>
      <w:r>
        <w:rPr>
          <w:rFonts w:hint="eastAsia" w:ascii="方正小标宋_GBK" w:hAnsi="宋体" w:eastAsia="方正小标宋_GBK"/>
          <w:sz w:val="44"/>
          <w:szCs w:val="44"/>
        </w:rPr>
        <w:t>比赛</w:t>
      </w:r>
    </w:p>
    <w:p>
      <w:pPr>
        <w:spacing w:line="600" w:lineRule="exact"/>
        <w:jc w:val="center"/>
        <w:rPr>
          <w:rFonts w:hint="eastAsia" w:ascii="方正小标宋_GBK" w:hAnsi="宋体" w:eastAsia="方正小标宋_GBK"/>
          <w:sz w:val="44"/>
          <w:szCs w:val="44"/>
        </w:rPr>
      </w:pPr>
      <w:r>
        <w:rPr>
          <w:rFonts w:hint="eastAsia" w:ascii="方正小标宋_GBK" w:hAnsi="宋体" w:eastAsia="方正小标宋_GBK"/>
          <w:sz w:val="44"/>
          <w:szCs w:val="44"/>
        </w:rPr>
        <w:t>选拔赛比赛方案</w:t>
      </w:r>
    </w:p>
    <w:p>
      <w:pPr>
        <w:overflowPunct w:val="0"/>
        <w:snapToGrid w:val="0"/>
        <w:jc w:val="center"/>
        <w:rPr>
          <w:rFonts w:ascii="Times New Roman" w:hAnsi="Times New Roman" w:eastAsia="方正仿宋简体"/>
          <w:sz w:val="32"/>
        </w:rPr>
      </w:pPr>
    </w:p>
    <w:bookmarkEnd w:id="0"/>
    <w:p>
      <w:pPr>
        <w:overflowPunct w:val="0"/>
        <w:ind w:firstLine="640" w:firstLineChars="200"/>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一、指导思想</w:t>
      </w:r>
    </w:p>
    <w:p>
      <w:pPr>
        <w:overflowPunct w:val="0"/>
        <w:ind w:firstLine="640" w:firstLineChars="200"/>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以习近平新时代中国特色社会主义思想为指导，全面贯彻党的教育方针，落实立德树人根本任务，贯彻全国教育大会精神和《国家职业教育改革实施方案》部署，积极推进职业教育领域“三全育人”，培育和践行社会主义核心价值观。</w:t>
      </w:r>
    </w:p>
    <w:p>
      <w:pPr>
        <w:overflowPunct w:val="0"/>
        <w:ind w:firstLine="640" w:firstLineChars="200"/>
        <w:rPr>
          <w:rFonts w:hint="eastAsia" w:ascii="方正仿宋_GBK" w:hAnsi="仿宋" w:eastAsia="方正仿宋_GBK"/>
          <w:color w:val="000000"/>
          <w:sz w:val="32"/>
          <w:szCs w:val="32"/>
        </w:rPr>
      </w:pPr>
      <w:r>
        <w:rPr>
          <w:rFonts w:hint="eastAsia" w:ascii="方正仿宋_GBK" w:hAnsi="仿宋" w:eastAsia="方正仿宋_GBK"/>
          <w:color w:val="000000"/>
          <w:sz w:val="32"/>
          <w:szCs w:val="32"/>
        </w:rPr>
        <w:t>坚持“以赛促教、以赛促学，以赛促改、以赛促建”的总体思路，引导学校和教师以立德树人为根本任务，推进“三全育人”，落实“课程思政”要求；推动各地、各中等职业学校加强班主任队伍专业化建设，提高教育教学、组织管理、人际沟通和职业指导等方面能力，发挥班主任在学校实施教书育人、管理育人、服务育人和沟通学校、家庭、用人单位等方面的重要作用，提高中职学校学生管理和德育工作水平，促进学生德智体美劳全面发展；引导学校师生更好适应疫情防控常态化条件下，线上线下混合式教学的需要，持续推进国家教学标准落地，确保人才培养质量稳步提高；引导各地各学校持续深化教师、教材、教法“三教改革”，持续提升学校在确保质量型扩招等新形势下常态化改进教育教学管理的能力，促进育训结合、书证融通；引导各地各学校以高素质教师队伍建设为着力点，推进高水平、结构化教师教学团队在信息技术应用、团队协作等方面的水平，构建职业教育教学质量持续改进的良好生态。</w:t>
      </w:r>
    </w:p>
    <w:p>
      <w:pPr>
        <w:overflowPunct w:val="0"/>
        <w:ind w:firstLine="640" w:firstLineChars="200"/>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二、赛项设置</w:t>
      </w:r>
    </w:p>
    <w:p>
      <w:pPr>
        <w:overflowPunct w:val="0"/>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比赛分为教师教学能力和班主任</w:t>
      </w:r>
      <w:r>
        <w:rPr>
          <w:rFonts w:ascii="方正仿宋_GBK" w:hAnsi="仿宋" w:eastAsia="方正仿宋_GBK"/>
          <w:color w:val="000000"/>
          <w:sz w:val="32"/>
          <w:szCs w:val="32"/>
        </w:rPr>
        <w:t>业务能力</w:t>
      </w:r>
      <w:r>
        <w:rPr>
          <w:rFonts w:hint="eastAsia" w:ascii="方正仿宋_GBK" w:hAnsi="仿宋" w:eastAsia="方正仿宋_GBK"/>
          <w:color w:val="000000"/>
          <w:sz w:val="32"/>
          <w:szCs w:val="32"/>
          <w:lang w:eastAsia="zh-CN"/>
        </w:rPr>
        <w:t>两类赛项</w:t>
      </w:r>
      <w:r>
        <w:rPr>
          <w:rFonts w:ascii="方正仿宋_GBK" w:hAnsi="仿宋" w:eastAsia="方正仿宋_GBK"/>
          <w:color w:val="000000"/>
          <w:sz w:val="32"/>
          <w:szCs w:val="32"/>
        </w:rPr>
        <w:t>。</w:t>
      </w:r>
    </w:p>
    <w:p>
      <w:pPr>
        <w:overflowPunct w:val="0"/>
        <w:ind w:firstLine="640" w:firstLineChars="200"/>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三、教师教学能力赛项比赛方案</w:t>
      </w:r>
    </w:p>
    <w:p>
      <w:pPr>
        <w:overflowPunct w:val="0"/>
        <w:ind w:firstLine="640" w:firstLineChars="200"/>
        <w:outlineLvl w:val="0"/>
        <w:rPr>
          <w:rFonts w:ascii="Times New Roman" w:hAnsi="Times New Roman" w:eastAsia="黑体"/>
          <w:sz w:val="32"/>
        </w:rPr>
      </w:pPr>
      <w:r>
        <w:rPr>
          <w:rFonts w:hint="eastAsia" w:ascii="Times New Roman" w:hAnsi="Times New Roman" w:eastAsia="黑体"/>
          <w:sz w:val="32"/>
        </w:rPr>
        <w:t>（一）比赛要求</w:t>
      </w:r>
    </w:p>
    <w:p>
      <w:pPr>
        <w:overflowPunct w:val="0"/>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重点考察教学团队（</w:t>
      </w:r>
      <w:r>
        <w:rPr>
          <w:rFonts w:ascii="方正仿宋_GBK" w:hAnsi="仿宋" w:eastAsia="方正仿宋_GBK"/>
          <w:color w:val="000000"/>
          <w:sz w:val="32"/>
          <w:szCs w:val="32"/>
        </w:rPr>
        <w:t>2~4</w:t>
      </w:r>
      <w:r>
        <w:rPr>
          <w:rFonts w:hint="eastAsia" w:ascii="方正仿宋_GBK" w:hAnsi="仿宋" w:eastAsia="方正仿宋_GBK"/>
          <w:color w:val="000000"/>
          <w:sz w:val="32"/>
          <w:szCs w:val="32"/>
        </w:rPr>
        <w:t>人）针对某门课程中部分教学内容完成教学设计、实施课堂教学、评价目标达成、进行反思改进的能力。</w:t>
      </w:r>
    </w:p>
    <w:p>
      <w:pPr>
        <w:overflowPunct w:val="0"/>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教学团队应落实职业教育国家教学标准，对接职业标准（规范），依据学校专业人才培养方案和实施性课程标准，选取参赛教学内容，进行学情分析，确定教学目标，优化教学过程，合理运用技术、方法和资源等组织课堂教学，进行教学考核与评价，做出教学反思与诊改。课堂教学实施应注重实效性，突出教学重难点的解决方法，实现师生、生生的全面良性互动，关注教与学全过程的信息采集，并根据反映出的问题及时调整教学策略。实训教学内容应基于真实工作任务、项目及工作流程、过程等，注重利用虚拟仿真实训资源解决技术技能培养中的重点难点问题，注重通过教师规范操作与有效示范培育精益求精、追求卓越等职业精神。</w:t>
      </w:r>
    </w:p>
    <w:p>
      <w:pPr>
        <w:overflowPunct w:val="0"/>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教学团队要坚持把立德树人作为中心环节，推进全员全过程全方位“三全育人”，实现思想政治教育与技术技能培养的有机统一；要加强劳动教育，弘扬劳动精神，教育引导学生崇尚劳动、尊重劳动；要推进信息技术与教育教学深度融合，创新教学方式方法、学习支持环境、服务供给模式，实现因材施教，为个性化学习提供支撑。</w:t>
      </w:r>
    </w:p>
    <w:p>
      <w:pPr>
        <w:overflowPunct w:val="0"/>
        <w:ind w:firstLine="640" w:firstLineChars="200"/>
        <w:outlineLvl w:val="0"/>
        <w:rPr>
          <w:rFonts w:ascii="Times New Roman" w:hAnsi="Times New Roman" w:eastAsia="黑体"/>
          <w:sz w:val="32"/>
        </w:rPr>
      </w:pPr>
      <w:r>
        <w:rPr>
          <w:rFonts w:hint="eastAsia" w:ascii="Times New Roman" w:hAnsi="Times New Roman" w:eastAsia="黑体"/>
          <w:sz w:val="32"/>
        </w:rPr>
        <w:t>（二）比赛分组</w:t>
      </w:r>
    </w:p>
    <w:p>
      <w:pPr>
        <w:overflowPunct w:val="0"/>
        <w:ind w:firstLine="640" w:firstLineChars="200"/>
        <w:outlineLvl w:val="1"/>
        <w:rPr>
          <w:rFonts w:ascii="方正仿宋_GBK" w:hAnsi="仿宋" w:eastAsia="方正仿宋_GBK"/>
          <w:color w:val="000000"/>
          <w:sz w:val="32"/>
          <w:szCs w:val="32"/>
        </w:rPr>
      </w:pPr>
      <w:bookmarkStart w:id="1" w:name="_Hlk9764033"/>
      <w:r>
        <w:rPr>
          <w:rFonts w:hint="eastAsia" w:ascii="方正仿宋_GBK" w:hAnsi="仿宋" w:eastAsia="方正仿宋_GBK"/>
          <w:color w:val="000000"/>
          <w:sz w:val="32"/>
          <w:szCs w:val="32"/>
        </w:rPr>
        <w:t>组别设置全面覆盖中等职业学校公共基础课程和所有大类专业课程。</w:t>
      </w:r>
    </w:p>
    <w:p>
      <w:pPr>
        <w:overflowPunct w:val="0"/>
        <w:ind w:firstLine="640" w:firstLineChars="200"/>
        <w:outlineLvl w:val="1"/>
        <w:rPr>
          <w:rFonts w:ascii="方正仿宋_GBK" w:hAnsi="仿宋" w:eastAsia="方正仿宋_GBK"/>
          <w:color w:val="000000"/>
          <w:sz w:val="32"/>
          <w:szCs w:val="32"/>
        </w:rPr>
      </w:pPr>
      <w:r>
        <w:rPr>
          <w:rFonts w:ascii="方正仿宋_GBK" w:hAnsi="仿宋" w:eastAsia="方正仿宋_GBK"/>
          <w:color w:val="000000"/>
          <w:sz w:val="32"/>
          <w:szCs w:val="32"/>
        </w:rPr>
        <w:t>1.</w:t>
      </w:r>
      <w:r>
        <w:rPr>
          <w:rFonts w:hint="eastAsia" w:ascii="方正仿宋_GBK" w:hAnsi="仿宋" w:eastAsia="方正仿宋_GBK"/>
          <w:color w:val="000000"/>
          <w:sz w:val="32"/>
          <w:szCs w:val="32"/>
        </w:rPr>
        <w:t>公共基础课程组</w:t>
      </w:r>
      <w:r>
        <w:rPr>
          <w:rFonts w:ascii="方正仿宋_GBK" w:hAnsi="仿宋" w:eastAsia="方正仿宋_GBK"/>
          <w:color w:val="000000"/>
          <w:sz w:val="32"/>
          <w:szCs w:val="32"/>
        </w:rPr>
        <w:t xml:space="preserve"> </w:t>
      </w:r>
    </w:p>
    <w:p>
      <w:pPr>
        <w:overflowPunct w:val="0"/>
        <w:ind w:firstLine="640" w:firstLineChars="200"/>
        <w:outlineLvl w:val="1"/>
        <w:rPr>
          <w:rFonts w:ascii="方正仿宋_GBK" w:hAnsi="仿宋" w:eastAsia="方正仿宋_GBK"/>
          <w:color w:val="000000"/>
          <w:sz w:val="32"/>
          <w:szCs w:val="32"/>
        </w:rPr>
      </w:pPr>
      <w:r>
        <w:rPr>
          <w:rFonts w:hint="eastAsia" w:ascii="方正仿宋_GBK" w:hAnsi="仿宋" w:eastAsia="方正仿宋_GBK"/>
          <w:color w:val="000000"/>
          <w:sz w:val="32"/>
          <w:szCs w:val="32"/>
        </w:rPr>
        <w:t>比赛内容为教育部规定开设的公共基础课程中（含必修课程、选修课程）不少于</w:t>
      </w:r>
      <w:r>
        <w:rPr>
          <w:rFonts w:ascii="方正仿宋_GBK" w:hAnsi="仿宋" w:eastAsia="方正仿宋_GBK"/>
          <w:color w:val="000000"/>
          <w:sz w:val="32"/>
          <w:szCs w:val="32"/>
        </w:rPr>
        <w:t>12</w:t>
      </w:r>
      <w:r>
        <w:rPr>
          <w:rFonts w:hint="eastAsia" w:ascii="方正仿宋_GBK" w:hAnsi="仿宋" w:eastAsia="方正仿宋_GBK"/>
          <w:color w:val="000000"/>
          <w:sz w:val="32"/>
          <w:szCs w:val="32"/>
        </w:rPr>
        <w:t>学时连续、完整的教学内容。应依据教育部颁布的教学大纲（课程标准）有关要求，进行教学设计与实施，并与国家规划教材有关内容相对应。</w:t>
      </w:r>
      <w:r>
        <w:rPr>
          <w:rFonts w:ascii="方正仿宋_GBK" w:hAnsi="仿宋" w:eastAsia="方正仿宋_GBK"/>
          <w:color w:val="000000"/>
          <w:sz w:val="32"/>
          <w:szCs w:val="32"/>
        </w:rPr>
        <w:t xml:space="preserve"> </w:t>
      </w:r>
    </w:p>
    <w:p>
      <w:pPr>
        <w:overflowPunct w:val="0"/>
        <w:ind w:firstLine="640" w:firstLineChars="200"/>
        <w:outlineLvl w:val="1"/>
        <w:rPr>
          <w:rFonts w:ascii="方正仿宋_GBK" w:hAnsi="仿宋" w:eastAsia="方正仿宋_GBK"/>
          <w:color w:val="000000"/>
          <w:sz w:val="32"/>
          <w:szCs w:val="32"/>
        </w:rPr>
      </w:pPr>
      <w:r>
        <w:rPr>
          <w:rFonts w:ascii="方正仿宋_GBK" w:hAnsi="仿宋" w:eastAsia="方正仿宋_GBK"/>
          <w:color w:val="000000"/>
          <w:sz w:val="32"/>
          <w:szCs w:val="32"/>
        </w:rPr>
        <w:t>2.</w:t>
      </w:r>
      <w:r>
        <w:t xml:space="preserve"> </w:t>
      </w:r>
      <w:r>
        <w:rPr>
          <w:rFonts w:hint="eastAsia" w:ascii="方正仿宋_GBK" w:hAnsi="仿宋" w:eastAsia="方正仿宋_GBK"/>
          <w:color w:val="000000"/>
          <w:sz w:val="32"/>
          <w:szCs w:val="32"/>
        </w:rPr>
        <w:t>中职专业技能课程</w:t>
      </w:r>
    </w:p>
    <w:p>
      <w:pPr>
        <w:overflowPunct w:val="0"/>
        <w:ind w:firstLine="640" w:firstLineChars="200"/>
        <w:outlineLvl w:val="1"/>
        <w:rPr>
          <w:rFonts w:ascii="方正仿宋_GBK" w:hAnsi="仿宋" w:eastAsia="方正仿宋_GBK"/>
          <w:color w:val="000000"/>
          <w:sz w:val="32"/>
          <w:szCs w:val="32"/>
        </w:rPr>
      </w:pPr>
      <w:r>
        <w:rPr>
          <w:rFonts w:hint="eastAsia" w:ascii="方正仿宋_GBK" w:hAnsi="仿宋" w:eastAsia="方正仿宋_GBK"/>
          <w:color w:val="000000"/>
          <w:sz w:val="32"/>
          <w:szCs w:val="32"/>
        </w:rPr>
        <w:t>比赛内容应依据教育部公布的专业目录、专业教学标准，以及我省已印发的中等职业教育教学指导方案，参赛作品应为专业核心课或专业（技能）方向课中不少于</w:t>
      </w:r>
      <w:r>
        <w:rPr>
          <w:rFonts w:ascii="方正仿宋_GBK" w:hAnsi="仿宋" w:eastAsia="方正仿宋_GBK"/>
          <w:color w:val="000000"/>
          <w:sz w:val="32"/>
          <w:szCs w:val="32"/>
        </w:rPr>
        <w:t>16</w:t>
      </w:r>
      <w:r>
        <w:rPr>
          <w:rFonts w:hint="eastAsia" w:ascii="方正仿宋_GBK" w:hAnsi="仿宋" w:eastAsia="方正仿宋_GBK"/>
          <w:color w:val="000000"/>
          <w:sz w:val="32"/>
          <w:szCs w:val="32"/>
        </w:rPr>
        <w:t>学时连续、完整的教学内容，包括专业（群）顶岗实习标准中的实习项目工作任务。</w:t>
      </w:r>
    </w:p>
    <w:bookmarkEnd w:id="1"/>
    <w:p>
      <w:pPr>
        <w:overflowPunct w:val="0"/>
        <w:ind w:firstLine="640" w:firstLineChars="200"/>
        <w:outlineLvl w:val="0"/>
        <w:rPr>
          <w:rFonts w:ascii="Times New Roman" w:hAnsi="Times New Roman" w:eastAsia="黑体"/>
          <w:sz w:val="32"/>
        </w:rPr>
      </w:pPr>
      <w:r>
        <w:rPr>
          <w:rFonts w:hint="eastAsia" w:ascii="Times New Roman" w:hAnsi="Times New Roman" w:eastAsia="黑体"/>
          <w:sz w:val="32"/>
        </w:rPr>
        <w:t>（三）参赛作品及材料</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教学团队选取某门课程在一个学期中符合要求的教学任务作为参赛作品，完成教学设计，组织实施课堂教学。教学内容要符合教育部印发的职业教育国家教学标准中的有关要求，公共基础课程教学内容应突出思想性、注重基础性、体现职业性、反映时代性；专业（技能）课程教学内容应对接新技术、新工艺、新规范。教材的选用和使用必须遵照《职业院校教材管理办法》等文件规定和要求。鼓励推荐落实中职公共基础课程标准、体现课程思政和劳动教育要求、推进1+X证书制度试点和中外合作办学、针对高职扩招生源特点实施教学、实施线上线下混合式教学效果良好的参赛作品。</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参赛作品材料包括实际使用的教案、3—4段课堂实录视频、教学实施报告，另附参赛作品所依据的实际使用的专业人才培养方案和课程标准，有关要求详见附件3。</w:t>
      </w:r>
    </w:p>
    <w:p>
      <w:pPr>
        <w:overflowPunct w:val="0"/>
        <w:ind w:firstLine="640" w:firstLineChars="200"/>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四、班主业务能力赛项比赛方案</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（一）比赛要求</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重点考察中等职业学校班主任针对所带班级，深入开展班级情况分析，科学确定班级建设目标，围绕学生思想工作、班级管理工作、组织班级活动、职业指导工作、沟通协调工作等方面，周密制订班级建设方案，扎实推进建班育人，妥善应对突发事件，并根据学生成长情况及时总结改进的能力。</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1.开展班级情况分析</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全面了解目前所带班级每一名学生入学时的家庭情况、身心健康状况、个性特点、学业基础、爱好特长、发展诉求等，并密切关注变化情况，结合所属专业，深入分析建班育人实践中需要重点关注的工作领域、学生个体，以及可能面临的困难和需要重点解决的问题。</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2.制订班级建设方案</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体现先进教育理念，坚持依法治教，根据《新时代爱国主义教育实施纲要》《新时代公民道德建设纲要》《中国学生发展核心素养》《大中小学劳动教育指导纲要（试行）》《中等职业学校德育大纲（2014年修订）》《中等职业学校职业指导工作规定》《教育部办公厅关于加强和改进新时代中等职业学校德育工作的意见》、职业教育国家教学标准、学校专业人才培养方案和行业企业人才需求实际等，结合中职学生思想、行为特点和班级情况实际，遵循教育教学规律、思想政治工作规律和技术技能人才成长规律，坚持班级整体建设与学生个体培养有机统一，注重发挥学生主体作用，科学合理确定班级建设目标，统筹规划所带班级整个中职阶段的各项工作。将立德树人放在首要位置，融入班级建设全过程，深入开展习近平新时代中国特色社会主义思想教育，培育和践行社会主义核心价值观，坚持爱国和爱党、爱社会主义高度统一，加强党史、新中国史、改革开放史、社会主义发展史教育和爱国主义、集体主义、社会主义教育，传承中华优秀传统文化，着力开展劳动教育，突出劳动精神、劳模精神、工匠精神培育，培养学生的创新精神和实践能力，注重调动各方协同育人，整合运用有关资源，形成育人合力。</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3.扎实推进建班育人</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1）学生思想工作。帮助引导学生深化对习近平新时代中国特色社会主义思想的认知理解。密切关注学生思想、心理、学习、生活状况，坚持以心育心、以德育德、以人格育人格，不断提高学生思想水平、政治觉悟、道德品质、文化素养，培养正确的人生观、世界观、价值观。针对学生在成长过程中遇到的实际问题，晓之以理、动之以情、导之以行、持之以恒，采用易于被学生接受和理解的方式进行教育、引导和援助，帮助学生提高认识，激发学习兴趣，有效提升应对挫折、适应岗位、融入社会的能力。注重运用新媒体、新技术，拓展网络育人阵地，利用网络唱响主旋律、传播正能量。</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2）班级管理工作。组建班委会、团支部，健全班级制度，组织学生学习签署践行《中等职业学校学生公约》，树立优良班风学风，鼓励学生参与制度、环境等班级文化建设，教育引导学生自觉养成良好的思想品质和行为习惯，维护教育教学秩序和生活秩序。客观、公正做好学生综合素质评价，及时对学生进行鼓励和指导。加强安全教育、法治教育、卫生健康教育和心理健康教育指导，维护班级和学生安全。</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3）组织班级活动。指导班委会、团支部开展工作，根据人才培养目标、德育工作要求和班级特点，开展覆盖全体学生、形式多样、时代性、趣味性、针对性和实效性强的主题班会、主题团日等班级活动。鼓励引导学生积极参与“文明风采”活动，在校期间至少加入一个学生社团、发展一项兴趣爱好、参加一次竞赛竞技、参与一项志愿服务、展示一项才艺特长。</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4）职业指导工作。了解班级所属专业人才培养方案，熟悉培养目标、专业特点和学业要求，有针对性地帮助学生认识自我，了解社会，了解专业和职业，增强职业意识，树立正确的职业理想和职业观、就业观、创业观，培养良好的职业道德、职业素养和职业行为习惯，提升职业生涯规划能力。指导学生根据社会需要和自身特点选择职业发展方向，顺利实现就业、创业或升学。</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5）沟通协调工作。密切与学校相关部门、班级任课教师、家长、社区等的沟通，全面及时了解学生表现，协同任课教师，帮助引导家长和社区配合学校做好学生的教育、管理和服务工作。根据学校安排，组织学生参加社会实践、劳动实践、实习实训等活动，积极与实习单位沟通协调，共同做好学生顶岗实习期间的教育和管理工作。</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6）及时总结改进。建立健全班级管理和学生成长档案，关注育人全过程的信息采集，跟踪学生学习、生活、成长等方面的进展情况并细致分析，对照班级建设目标和达成进度，反思工作不足和制约因素，适时调整改进建班育人策略，保障达成育人目标。总结成功经验，逐步形成符合中职学生年龄特点、成长规律的科学管理理念和工作方法。</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4.妥善应对突发事件</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熟悉并掌握各级教育行政部门、学校关于应对校园安全、公共卫生、网络舆情等突发事件的工作要求，做好应急预案。能够第一时间对突发事件进行初步处理，妥善做好应对，保护学生身心安全，维护学生合法权益，及时了解、掌握有关信息并按程序上报。事后做好总结研究分析，完善班级应急工作预案，向学校提出合理化建议。</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（二）参赛对象</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参赛选手为中等职业学校班主任个人，20</w:t>
      </w:r>
      <w:r>
        <w:rPr>
          <w:rFonts w:hint="eastAsia" w:ascii="方正仿宋_GBK" w:hAnsi="仿宋" w:eastAsia="方正仿宋_GBK"/>
          <w:color w:val="000000"/>
          <w:sz w:val="32"/>
          <w:szCs w:val="32"/>
          <w:lang w:val="en-US" w:eastAsia="zh-CN"/>
        </w:rPr>
        <w:t>20</w:t>
      </w:r>
      <w:r>
        <w:rPr>
          <w:rFonts w:hint="eastAsia" w:ascii="方正仿宋_GBK" w:hAnsi="仿宋" w:eastAsia="方正仿宋_GBK"/>
          <w:color w:val="000000"/>
          <w:sz w:val="32"/>
          <w:szCs w:val="32"/>
        </w:rPr>
        <w:t>—202</w:t>
      </w:r>
      <w:r>
        <w:rPr>
          <w:rFonts w:hint="eastAsia" w:ascii="方正仿宋_GBK" w:hAnsi="仿宋" w:eastAsia="方正仿宋_GBK"/>
          <w:color w:val="000000"/>
          <w:sz w:val="32"/>
          <w:szCs w:val="32"/>
          <w:lang w:val="en-US" w:eastAsia="zh-CN"/>
        </w:rPr>
        <w:t>1</w:t>
      </w:r>
      <w:r>
        <w:rPr>
          <w:rFonts w:hint="eastAsia" w:ascii="方正仿宋_GBK" w:hAnsi="仿宋" w:eastAsia="方正仿宋_GBK"/>
          <w:color w:val="000000"/>
          <w:sz w:val="32"/>
          <w:szCs w:val="32"/>
        </w:rPr>
        <w:t>学年担任中职或五年制高职前三年级的班主任并实际带班，累计担任中职班主任3学年以上（不含3学年）。鼓励国家级、省级德育名师和名班主任、教学成果奖主持人以及具有高级专业技术职务的教师等报名参赛。</w:t>
      </w:r>
    </w:p>
    <w:p>
      <w:pPr>
        <w:overflowPunct w:val="0"/>
        <w:ind w:firstLine="640" w:firstLineChars="200"/>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五、比赛办法</w:t>
      </w:r>
    </w:p>
    <w:p>
      <w:pPr>
        <w:overflowPunct w:val="0"/>
        <w:ind w:firstLine="640" w:firstLineChars="200"/>
        <w:rPr>
          <w:rFonts w:ascii="方正仿宋_GBK" w:hAnsi="仿宋" w:eastAsia="方正仿宋_GBK"/>
          <w:color w:val="000000"/>
          <w:sz w:val="32"/>
          <w:szCs w:val="32"/>
        </w:rPr>
      </w:pPr>
      <w:r>
        <w:rPr>
          <w:rFonts w:hint="eastAsia" w:ascii="方正仿宋_GBK" w:hAnsi="仿宋" w:eastAsia="方正仿宋_GBK"/>
          <w:color w:val="000000"/>
          <w:sz w:val="32"/>
          <w:szCs w:val="32"/>
        </w:rPr>
        <w:t>根据报名情况分为若干评审组。各评审组均采取先网络初评后决赛的方式进行。网络初评时，评审参赛作品材料，按成绩排序，确定参加第二轮决赛比赛的名单。</w:t>
      </w:r>
    </w:p>
    <w:p>
      <w:pPr>
        <w:overflowPunct w:val="0"/>
        <w:ind w:firstLine="640" w:firstLineChars="200"/>
        <w:outlineLvl w:val="0"/>
        <w:rPr>
          <w:rFonts w:ascii="方正仿宋_GBK" w:hAnsi="仿宋" w:eastAsia="方正仿宋_GBK"/>
          <w:color w:val="000000"/>
          <w:sz w:val="32"/>
          <w:szCs w:val="32"/>
        </w:rPr>
      </w:pPr>
      <w:r>
        <w:rPr>
          <w:rFonts w:hint="eastAsia" w:ascii="方正仿宋_GBK" w:hAnsi="仿宋" w:eastAsia="方正仿宋_GBK"/>
          <w:color w:val="000000"/>
          <w:sz w:val="32"/>
          <w:szCs w:val="32"/>
        </w:rPr>
        <w:t>决赛方法另行通知。</w:t>
      </w:r>
    </w:p>
    <w:p>
      <w:pPr>
        <w:overflowPunct w:val="0"/>
        <w:ind w:firstLine="640" w:firstLineChars="200"/>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六、报名要求</w:t>
      </w:r>
    </w:p>
    <w:p>
      <w:pPr>
        <w:overflowPunct w:val="0"/>
        <w:ind w:firstLine="640" w:firstLineChars="200"/>
        <w:rPr>
          <w:rFonts w:ascii="方正仿宋_GBK" w:hAnsi="仿宋" w:eastAsia="方正仿宋_GBK"/>
          <w:color w:val="000000"/>
          <w:sz w:val="32"/>
          <w:szCs w:val="32"/>
        </w:rPr>
      </w:pPr>
      <w:r>
        <w:rPr>
          <w:rFonts w:ascii="方正仿宋_GBK" w:hAnsi="仿宋" w:eastAsia="方正仿宋_GBK"/>
          <w:color w:val="000000"/>
          <w:sz w:val="32"/>
          <w:szCs w:val="32"/>
        </w:rPr>
        <w:t>1.</w:t>
      </w:r>
      <w:r>
        <w:rPr>
          <w:rFonts w:hint="eastAsia" w:ascii="方正仿宋_GBK" w:hAnsi="仿宋" w:eastAsia="方正仿宋_GBK"/>
          <w:color w:val="000000"/>
          <w:sz w:val="32"/>
          <w:szCs w:val="32"/>
        </w:rPr>
        <w:t>以市为单位组成代表队参加比赛（省直管县列入所在市代表队）。</w:t>
      </w:r>
    </w:p>
    <w:p>
      <w:pPr>
        <w:overflowPunct w:val="0"/>
        <w:ind w:firstLine="640" w:firstLineChars="200"/>
        <w:rPr>
          <w:rFonts w:ascii="方正仿宋_GBK" w:hAnsi="仿宋" w:eastAsia="方正仿宋_GBK"/>
          <w:color w:val="000000"/>
          <w:sz w:val="32"/>
          <w:szCs w:val="32"/>
        </w:rPr>
      </w:pPr>
      <w:r>
        <w:rPr>
          <w:rFonts w:ascii="方正仿宋_GBK" w:hAnsi="仿宋" w:eastAsia="方正仿宋_GBK"/>
          <w:color w:val="000000"/>
          <w:sz w:val="32"/>
          <w:szCs w:val="32"/>
        </w:rPr>
        <w:t>2.</w:t>
      </w:r>
      <w:r>
        <w:rPr>
          <w:rFonts w:hint="eastAsia" w:ascii="方正仿宋_GBK" w:hAnsi="仿宋" w:eastAsia="方正仿宋_GBK"/>
          <w:color w:val="000000"/>
          <w:sz w:val="32"/>
          <w:szCs w:val="32"/>
        </w:rPr>
        <w:t xml:space="preserve"> 教学能力赛项中除公共基础课程组外，每个教学团队可吸收</w:t>
      </w:r>
      <w:r>
        <w:rPr>
          <w:rFonts w:ascii="方正仿宋_GBK" w:hAnsi="仿宋" w:eastAsia="方正仿宋_GBK"/>
          <w:color w:val="000000"/>
          <w:sz w:val="32"/>
          <w:szCs w:val="32"/>
        </w:rPr>
        <w:t>1</w:t>
      </w:r>
      <w:r>
        <w:rPr>
          <w:rFonts w:hint="eastAsia" w:ascii="方正仿宋_GBK" w:hAnsi="仿宋" w:eastAsia="方正仿宋_GBK"/>
          <w:color w:val="000000"/>
          <w:sz w:val="32"/>
          <w:szCs w:val="32"/>
        </w:rPr>
        <w:t>名团队学校聘用的企业兼职教师作为团队成员参赛；各代表队可在本区域范围内跨校联合组建教学团队参赛，中等职业学校、高等职业学校不得混合组队参赛。</w:t>
      </w:r>
    </w:p>
    <w:p>
      <w:pPr>
        <w:overflowPunct w:val="0"/>
        <w:ind w:firstLine="640" w:firstLineChars="200"/>
        <w:rPr>
          <w:rFonts w:ascii="方正仿宋_GBK" w:hAnsi="仿宋" w:eastAsia="方正仿宋_GBK"/>
          <w:color w:val="000000"/>
          <w:sz w:val="32"/>
          <w:szCs w:val="32"/>
        </w:rPr>
      </w:pPr>
      <w:r>
        <w:rPr>
          <w:rFonts w:ascii="方正仿宋_GBK" w:hAnsi="仿宋" w:eastAsia="方正仿宋_GBK"/>
          <w:color w:val="000000"/>
          <w:sz w:val="32"/>
          <w:szCs w:val="32"/>
        </w:rPr>
        <w:t>3.</w:t>
      </w:r>
      <w:r>
        <w:rPr>
          <w:rFonts w:hint="eastAsia" w:ascii="方正仿宋_GBK" w:hAnsi="仿宋" w:eastAsia="方正仿宋_GBK"/>
          <w:color w:val="000000"/>
          <w:sz w:val="32"/>
          <w:szCs w:val="32"/>
        </w:rPr>
        <w:t>教学团队成员所在学校均须开设参赛作品教学内容所属的专业（须在教育部备案）和课程，成员须实际承担有关教学或教研任务。以虚假内容（身份）参赛的，一经核实，取消其参赛资格以及所在代表队团体奖评奖资格，并通报全省职业院校技能大赛组织委员会，责成市级教育行政部门依据有关规定处理。</w:t>
      </w:r>
    </w:p>
    <w:p>
      <w:pPr>
        <w:overflowPunct w:val="0"/>
        <w:ind w:firstLine="640" w:firstLineChars="200"/>
        <w:rPr>
          <w:rFonts w:ascii="方正仿宋_GBK" w:hAnsi="仿宋" w:eastAsia="方正仿宋_GBK"/>
          <w:color w:val="000000"/>
          <w:sz w:val="32"/>
          <w:szCs w:val="32"/>
        </w:rPr>
      </w:pPr>
      <w:r>
        <w:rPr>
          <w:rFonts w:ascii="方正仿宋_GBK" w:hAnsi="仿宋" w:eastAsia="方正仿宋_GBK"/>
          <w:color w:val="000000"/>
          <w:sz w:val="32"/>
          <w:szCs w:val="32"/>
        </w:rPr>
        <w:t>4.</w:t>
      </w:r>
      <w:r>
        <w:rPr>
          <w:rFonts w:hint="eastAsia" w:ascii="方正仿宋_GBK" w:hAnsi="仿宋" w:eastAsia="方正仿宋_GBK"/>
          <w:color w:val="000000"/>
          <w:sz w:val="32"/>
          <w:szCs w:val="32"/>
        </w:rPr>
        <w:t>参赛作品应为原创，引用应注明出处。如引起知识产权异议和纠纷，责任由教学团队承担。经同意，比赛组委会统一组织对参赛作品做公益性共享。</w:t>
      </w:r>
    </w:p>
    <w:p>
      <w:pPr>
        <w:overflowPunct w:val="0"/>
        <w:ind w:firstLine="640" w:firstLineChars="200"/>
        <w:rPr>
          <w:rFonts w:ascii="方正仿宋_GBK" w:hAnsi="仿宋" w:eastAsia="方正仿宋_GBK"/>
          <w:color w:val="000000"/>
          <w:sz w:val="32"/>
          <w:szCs w:val="32"/>
        </w:rPr>
      </w:pPr>
      <w:r>
        <w:rPr>
          <w:rFonts w:ascii="方正仿宋_GBK" w:hAnsi="仿宋" w:eastAsia="方正仿宋_GBK"/>
          <w:color w:val="000000"/>
          <w:sz w:val="32"/>
          <w:szCs w:val="32"/>
        </w:rPr>
        <w:t>5.</w:t>
      </w:r>
      <w:r>
        <w:rPr>
          <w:rFonts w:hint="eastAsia" w:ascii="方正仿宋_GBK" w:hAnsi="仿宋" w:eastAsia="方正仿宋_GBK"/>
          <w:color w:val="000000"/>
          <w:sz w:val="32"/>
          <w:szCs w:val="32"/>
        </w:rPr>
        <w:t>除《参赛报名表》《参赛汇总表》之外，所有参赛作品材料及其文件名（属性）、现场展示和答辩时使用的所有材料和画面等，均不得出现市、学校的任何信息。故意透露相关信息的，取消其参赛资格。</w:t>
      </w:r>
    </w:p>
    <w:p>
      <w:pPr>
        <w:overflowPunct w:val="0"/>
        <w:ind w:firstLine="640" w:firstLineChars="200"/>
        <w:outlineLvl w:val="0"/>
        <w:rPr>
          <w:rFonts w:hint="eastAsia" w:ascii="方正黑体_GBK" w:hAnsi="方正黑体_GBK" w:eastAsia="方正黑体_GBK" w:cs="方正黑体_GBK"/>
          <w:sz w:val="32"/>
        </w:rPr>
      </w:pPr>
      <w:r>
        <w:rPr>
          <w:rFonts w:hint="eastAsia" w:ascii="方正黑体_GBK" w:hAnsi="方正黑体_GBK" w:eastAsia="方正黑体_GBK" w:cs="方正黑体_GBK"/>
          <w:sz w:val="32"/>
        </w:rPr>
        <w:t>七、其他</w:t>
      </w:r>
    </w:p>
    <w:p>
      <w:pPr>
        <w:overflowPunct w:val="0"/>
        <w:ind w:firstLine="640" w:firstLineChars="200"/>
        <w:rPr>
          <w:rFonts w:ascii="方正仿宋_GBK" w:hAnsi="仿宋" w:eastAsia="方正仿宋_GBK"/>
          <w:color w:val="000000"/>
          <w:sz w:val="32"/>
          <w:szCs w:val="32"/>
        </w:rPr>
      </w:pPr>
      <w:r>
        <w:rPr>
          <w:rFonts w:ascii="方正仿宋_GBK" w:hAnsi="仿宋" w:eastAsia="方正仿宋_GBK"/>
          <w:color w:val="000000"/>
          <w:sz w:val="32"/>
          <w:szCs w:val="32"/>
        </w:rPr>
        <w:t>1.</w:t>
      </w:r>
      <w:r>
        <w:rPr>
          <w:rFonts w:hint="eastAsia" w:ascii="方正仿宋_GBK" w:hAnsi="仿宋" w:eastAsia="方正仿宋_GBK"/>
          <w:color w:val="000000"/>
          <w:sz w:val="32"/>
          <w:szCs w:val="32"/>
        </w:rPr>
        <w:t>教学团队可选用比赛组委会免费提供的国家职业教育专业教学资源库、国家级精品资源共享课、职业学校企业生产实际教学案例库等相关教学资源进行教学设计和实际教学，相关资源可从比赛教学资源支持平台（智慧职教</w:t>
      </w:r>
      <w:r>
        <w:rPr>
          <w:rFonts w:ascii="方正仿宋_GBK" w:hAnsi="仿宋" w:eastAsia="方正仿宋_GBK"/>
          <w:color w:val="000000"/>
          <w:sz w:val="32"/>
          <w:szCs w:val="32"/>
        </w:rPr>
        <w:t>www.icve.com.cn</w:t>
      </w:r>
      <w:r>
        <w:rPr>
          <w:rFonts w:hint="eastAsia" w:ascii="方正仿宋_GBK" w:hAnsi="仿宋" w:eastAsia="方正仿宋_GBK"/>
          <w:color w:val="000000"/>
          <w:sz w:val="32"/>
          <w:szCs w:val="32"/>
        </w:rPr>
        <w:t>、爱课程网</w:t>
      </w:r>
      <w:r>
        <w:rPr>
          <w:rFonts w:ascii="方正仿宋_GBK" w:hAnsi="仿宋" w:eastAsia="方正仿宋_GBK"/>
          <w:color w:val="000000"/>
          <w:sz w:val="32"/>
          <w:szCs w:val="32"/>
        </w:rPr>
        <w:t>www.icourses.cn</w:t>
      </w:r>
      <w:r>
        <w:rPr>
          <w:rFonts w:hint="eastAsia" w:ascii="方正仿宋_GBK" w:hAnsi="仿宋" w:eastAsia="方正仿宋_GBK"/>
          <w:color w:val="000000"/>
          <w:sz w:val="32"/>
          <w:szCs w:val="32"/>
        </w:rPr>
        <w:t>）获取，或登录比赛官方网站有关链接。</w:t>
      </w:r>
    </w:p>
    <w:p>
      <w:pPr>
        <w:overflowPunct w:val="0"/>
        <w:ind w:firstLine="640" w:firstLineChars="200"/>
        <w:rPr>
          <w:rFonts w:ascii="方正仿宋_GBK" w:hAnsi="仿宋" w:eastAsia="方正仿宋_GBK"/>
          <w:color w:val="000000"/>
          <w:sz w:val="32"/>
          <w:szCs w:val="32"/>
        </w:rPr>
      </w:pPr>
      <w:r>
        <w:rPr>
          <w:rFonts w:ascii="方正仿宋_GBK" w:hAnsi="仿宋" w:eastAsia="方正仿宋_GBK"/>
          <w:color w:val="000000"/>
          <w:sz w:val="32"/>
          <w:szCs w:val="32"/>
        </w:rPr>
        <w:t>2.202</w:t>
      </w:r>
      <w:r>
        <w:rPr>
          <w:rFonts w:hint="eastAsia" w:ascii="方正仿宋_GBK" w:hAnsi="仿宋" w:eastAsia="方正仿宋_GBK"/>
          <w:color w:val="000000"/>
          <w:sz w:val="32"/>
          <w:szCs w:val="32"/>
        </w:rPr>
        <w:t>1年全省比赛的有关信息将及时在安徽省教育厅官网和安徽职成与成人教育处官网公布。</w:t>
      </w:r>
    </w:p>
    <w:p>
      <w:pPr>
        <w:overflowPunct w:val="0"/>
        <w:ind w:firstLine="640" w:firstLineChars="200"/>
        <w:rPr>
          <w:rFonts w:ascii="方正仿宋_GBK" w:hAnsi="仿宋" w:eastAsia="方正仿宋_GBK"/>
          <w:color w:val="000000"/>
          <w:sz w:val="32"/>
          <w:szCs w:val="32"/>
        </w:rPr>
      </w:pPr>
    </w:p>
    <w:p>
      <w:pPr>
        <w:overflowPunct w:val="0"/>
        <w:ind w:firstLine="640" w:firstLineChars="200"/>
        <w:rPr>
          <w:rFonts w:ascii="方正仿宋_GBK" w:hAnsi="仿宋" w:eastAsia="方正仿宋_GBK"/>
          <w:color w:val="000000"/>
          <w:sz w:val="32"/>
          <w:szCs w:val="32"/>
        </w:rPr>
      </w:pPr>
    </w:p>
    <w:p>
      <w:pPr>
        <w:overflowPunct w:val="0"/>
        <w:rPr>
          <w:rFonts w:ascii="方正仿宋_GBK" w:hAnsi="仿宋" w:eastAsia="方正仿宋_GBK"/>
          <w:color w:val="000000"/>
          <w:sz w:val="32"/>
          <w:szCs w:val="32"/>
        </w:rPr>
      </w:pPr>
    </w:p>
    <w:sectPr>
      <w:footerReference r:id="rId5" w:type="first"/>
      <w:footerReference r:id="rId3" w:type="default"/>
      <w:footerReference r:id="rId4" w:type="even"/>
      <w:pgSz w:w="11906" w:h="16838"/>
      <w:pgMar w:top="2041" w:right="1531" w:bottom="2041" w:left="1531" w:header="851" w:footer="1588"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方正小标宋_GBK">
    <w:panose1 w:val="03000509000000000000"/>
    <w:charset w:val="86"/>
    <w:family w:val="script"/>
    <w:pitch w:val="default"/>
    <w:sig w:usb0="00000001" w:usb1="080E0000" w:usb2="00000000" w:usb3="00000000" w:csb0="00040000" w:csb1="00000000"/>
  </w:font>
  <w:font w:name="方正仿宋简体">
    <w:altName w:val="微软雅黑"/>
    <w:panose1 w:val="00000000000000000000"/>
    <w:charset w:val="86"/>
    <w:family w:val="auto"/>
    <w:pitch w:val="default"/>
    <w:sig w:usb0="00000000" w:usb1="00000000" w:usb2="0000001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Fonts w:ascii="方正仿宋_GBK" w:eastAsia="方正仿宋_GBK"/>
        <w:sz w:val="28"/>
        <w:szCs w:val="28"/>
      </w:rPr>
    </w:pPr>
    <w:r>
      <w:rPr>
        <w:rStyle w:val="12"/>
        <w:rFonts w:ascii="方正仿宋_GBK" w:eastAsia="方正仿宋_GBK"/>
        <w:sz w:val="28"/>
        <w:szCs w:val="28"/>
      </w:rPr>
      <w:fldChar w:fldCharType="begin"/>
    </w:r>
    <w:r>
      <w:rPr>
        <w:rStyle w:val="12"/>
        <w:rFonts w:ascii="方正仿宋_GBK" w:eastAsia="方正仿宋_GBK"/>
        <w:sz w:val="28"/>
        <w:szCs w:val="28"/>
      </w:rPr>
      <w:instrText xml:space="preserve">PAGE  </w:instrText>
    </w:r>
    <w:r>
      <w:rPr>
        <w:rStyle w:val="12"/>
        <w:rFonts w:ascii="方正仿宋_GBK" w:eastAsia="方正仿宋_GBK"/>
        <w:sz w:val="28"/>
        <w:szCs w:val="28"/>
      </w:rPr>
      <w:fldChar w:fldCharType="separate"/>
    </w:r>
    <w:r>
      <w:rPr>
        <w:rStyle w:val="12"/>
        <w:rFonts w:ascii="方正仿宋_GBK" w:eastAsia="方正仿宋_GBK"/>
        <w:sz w:val="28"/>
        <w:szCs w:val="28"/>
      </w:rPr>
      <w:t>- 10 -</w:t>
    </w:r>
    <w:r>
      <w:rPr>
        <w:rStyle w:val="12"/>
        <w:rFonts w:ascii="方正仿宋_GBK" w:eastAsia="方正仿宋_GBK"/>
        <w:sz w:val="28"/>
        <w:szCs w:val="28"/>
      </w:rPr>
      <w:fldChar w:fldCharType="end"/>
    </w:r>
  </w:p>
  <w:p>
    <w:pPr>
      <w:pStyle w:val="6"/>
      <w:ind w:right="360" w:firstLine="360"/>
      <w:jc w:val="center"/>
      <w:rPr>
        <w:rFonts w:ascii="Times New Roman" w:hAnsi="Times New Roman"/>
        <w:sz w:val="28"/>
        <w:szCs w:val="28"/>
      </w:rPr>
    </w:pPr>
  </w:p>
  <w:p>
    <w:pPr>
      <w:pStyle w:val="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framePr w:wrap="around" w:vAnchor="text" w:hAnchor="margin" w:xAlign="outside" w:y="1"/>
      <w:rPr>
        <w:rStyle w:val="12"/>
      </w:rPr>
    </w:pPr>
    <w:r>
      <w:rPr>
        <w:rStyle w:val="12"/>
      </w:rPr>
      <w:fldChar w:fldCharType="begin"/>
    </w:r>
    <w:r>
      <w:rPr>
        <w:rStyle w:val="12"/>
      </w:rPr>
      <w:instrText xml:space="preserve">PAGE  </w:instrText>
    </w:r>
    <w:r>
      <w:rPr>
        <w:rStyle w:val="12"/>
      </w:rPr>
      <w:fldChar w:fldCharType="end"/>
    </w:r>
  </w:p>
  <w:p>
    <w:pPr>
      <w:pStyle w:val="6"/>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sz w:val="24"/>
        <w:szCs w:val="24"/>
      </w:rPr>
    </w:pPr>
    <w:r>
      <w:rPr>
        <w:sz w:val="24"/>
        <w:szCs w:val="24"/>
      </w:rPr>
      <w:t>1</w:t>
    </w:r>
  </w:p>
  <w:p>
    <w:pPr>
      <w:pStyle w:val="6"/>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5BD8"/>
    <w:rsid w:val="000026E7"/>
    <w:rsid w:val="000053A3"/>
    <w:rsid w:val="0002487D"/>
    <w:rsid w:val="000731FC"/>
    <w:rsid w:val="00077600"/>
    <w:rsid w:val="000910F0"/>
    <w:rsid w:val="000B71A4"/>
    <w:rsid w:val="000E0B14"/>
    <w:rsid w:val="00124554"/>
    <w:rsid w:val="00150D48"/>
    <w:rsid w:val="00152C82"/>
    <w:rsid w:val="00156F71"/>
    <w:rsid w:val="00173C9C"/>
    <w:rsid w:val="001809CA"/>
    <w:rsid w:val="001B3888"/>
    <w:rsid w:val="001D7861"/>
    <w:rsid w:val="001F0DF2"/>
    <w:rsid w:val="001F3E8E"/>
    <w:rsid w:val="00211CF8"/>
    <w:rsid w:val="00212EBE"/>
    <w:rsid w:val="00226150"/>
    <w:rsid w:val="00231A8F"/>
    <w:rsid w:val="00232AE1"/>
    <w:rsid w:val="00246E27"/>
    <w:rsid w:val="0024746A"/>
    <w:rsid w:val="00251B17"/>
    <w:rsid w:val="0027034D"/>
    <w:rsid w:val="00282944"/>
    <w:rsid w:val="0028405D"/>
    <w:rsid w:val="00290BDA"/>
    <w:rsid w:val="00294A67"/>
    <w:rsid w:val="002B1CFC"/>
    <w:rsid w:val="002C21CE"/>
    <w:rsid w:val="002C3FA2"/>
    <w:rsid w:val="002D56FB"/>
    <w:rsid w:val="002D72CE"/>
    <w:rsid w:val="002E3BF3"/>
    <w:rsid w:val="002E48C4"/>
    <w:rsid w:val="003072E5"/>
    <w:rsid w:val="003247D9"/>
    <w:rsid w:val="00337D36"/>
    <w:rsid w:val="0034187D"/>
    <w:rsid w:val="00352C1F"/>
    <w:rsid w:val="00355F42"/>
    <w:rsid w:val="00361036"/>
    <w:rsid w:val="00361A70"/>
    <w:rsid w:val="003627B1"/>
    <w:rsid w:val="00365ED7"/>
    <w:rsid w:val="00366E3A"/>
    <w:rsid w:val="003855E5"/>
    <w:rsid w:val="003D20AC"/>
    <w:rsid w:val="003E371B"/>
    <w:rsid w:val="003F6121"/>
    <w:rsid w:val="00422E80"/>
    <w:rsid w:val="00433BF8"/>
    <w:rsid w:val="004377AB"/>
    <w:rsid w:val="0044207B"/>
    <w:rsid w:val="00466024"/>
    <w:rsid w:val="0047420E"/>
    <w:rsid w:val="00487593"/>
    <w:rsid w:val="004B52BB"/>
    <w:rsid w:val="004C0E9E"/>
    <w:rsid w:val="004C15B5"/>
    <w:rsid w:val="004C6725"/>
    <w:rsid w:val="004E2132"/>
    <w:rsid w:val="00567169"/>
    <w:rsid w:val="00574A80"/>
    <w:rsid w:val="005921E2"/>
    <w:rsid w:val="005B6D25"/>
    <w:rsid w:val="005F06FC"/>
    <w:rsid w:val="00600E9C"/>
    <w:rsid w:val="0061068C"/>
    <w:rsid w:val="00612164"/>
    <w:rsid w:val="006368FD"/>
    <w:rsid w:val="00644DD2"/>
    <w:rsid w:val="00645404"/>
    <w:rsid w:val="006472F8"/>
    <w:rsid w:val="0065744B"/>
    <w:rsid w:val="006B4BB6"/>
    <w:rsid w:val="006C62EE"/>
    <w:rsid w:val="006D7D87"/>
    <w:rsid w:val="006E3C3B"/>
    <w:rsid w:val="00701E19"/>
    <w:rsid w:val="007403F7"/>
    <w:rsid w:val="007432C2"/>
    <w:rsid w:val="0074604D"/>
    <w:rsid w:val="0075545B"/>
    <w:rsid w:val="0076372E"/>
    <w:rsid w:val="007A1A99"/>
    <w:rsid w:val="007B706C"/>
    <w:rsid w:val="007C32CC"/>
    <w:rsid w:val="007E582F"/>
    <w:rsid w:val="007F1ECF"/>
    <w:rsid w:val="0080065E"/>
    <w:rsid w:val="00820517"/>
    <w:rsid w:val="00842D8A"/>
    <w:rsid w:val="0086224B"/>
    <w:rsid w:val="00864F1D"/>
    <w:rsid w:val="00884A75"/>
    <w:rsid w:val="008A335B"/>
    <w:rsid w:val="008B650F"/>
    <w:rsid w:val="008F35C5"/>
    <w:rsid w:val="008F4063"/>
    <w:rsid w:val="00902198"/>
    <w:rsid w:val="009078CF"/>
    <w:rsid w:val="00916E4A"/>
    <w:rsid w:val="00926D5C"/>
    <w:rsid w:val="00934790"/>
    <w:rsid w:val="00937441"/>
    <w:rsid w:val="009530B9"/>
    <w:rsid w:val="00964F30"/>
    <w:rsid w:val="009A5C42"/>
    <w:rsid w:val="009C68BC"/>
    <w:rsid w:val="009D782C"/>
    <w:rsid w:val="009F2BAA"/>
    <w:rsid w:val="00A152E0"/>
    <w:rsid w:val="00A15625"/>
    <w:rsid w:val="00A16063"/>
    <w:rsid w:val="00A20A0D"/>
    <w:rsid w:val="00A27451"/>
    <w:rsid w:val="00A27C84"/>
    <w:rsid w:val="00A31AA8"/>
    <w:rsid w:val="00A365B0"/>
    <w:rsid w:val="00A407C8"/>
    <w:rsid w:val="00A607C6"/>
    <w:rsid w:val="00A64FB6"/>
    <w:rsid w:val="00A84412"/>
    <w:rsid w:val="00A93862"/>
    <w:rsid w:val="00A96148"/>
    <w:rsid w:val="00AC2AE2"/>
    <w:rsid w:val="00AC60C9"/>
    <w:rsid w:val="00AD2505"/>
    <w:rsid w:val="00AD2933"/>
    <w:rsid w:val="00AD2ED2"/>
    <w:rsid w:val="00AD5162"/>
    <w:rsid w:val="00AF5BD8"/>
    <w:rsid w:val="00B04E0D"/>
    <w:rsid w:val="00B057BC"/>
    <w:rsid w:val="00B17503"/>
    <w:rsid w:val="00B1777E"/>
    <w:rsid w:val="00B3280A"/>
    <w:rsid w:val="00B45299"/>
    <w:rsid w:val="00B5638F"/>
    <w:rsid w:val="00B660B0"/>
    <w:rsid w:val="00BC0E6D"/>
    <w:rsid w:val="00BC3C04"/>
    <w:rsid w:val="00BD5704"/>
    <w:rsid w:val="00BD6563"/>
    <w:rsid w:val="00BD674A"/>
    <w:rsid w:val="00BE0CA5"/>
    <w:rsid w:val="00C146CA"/>
    <w:rsid w:val="00C15771"/>
    <w:rsid w:val="00C20659"/>
    <w:rsid w:val="00C2313B"/>
    <w:rsid w:val="00C33AE3"/>
    <w:rsid w:val="00C354AC"/>
    <w:rsid w:val="00C4068F"/>
    <w:rsid w:val="00C46994"/>
    <w:rsid w:val="00C57A51"/>
    <w:rsid w:val="00C63CBD"/>
    <w:rsid w:val="00CA7AFD"/>
    <w:rsid w:val="00CC209F"/>
    <w:rsid w:val="00CC4A0C"/>
    <w:rsid w:val="00CE5AD5"/>
    <w:rsid w:val="00D269E1"/>
    <w:rsid w:val="00D36806"/>
    <w:rsid w:val="00D8017A"/>
    <w:rsid w:val="00D82214"/>
    <w:rsid w:val="00DB547A"/>
    <w:rsid w:val="00DB583D"/>
    <w:rsid w:val="00DC1A9C"/>
    <w:rsid w:val="00DD095B"/>
    <w:rsid w:val="00E06862"/>
    <w:rsid w:val="00E07A6F"/>
    <w:rsid w:val="00E16B34"/>
    <w:rsid w:val="00E4583A"/>
    <w:rsid w:val="00E605C4"/>
    <w:rsid w:val="00E92E9C"/>
    <w:rsid w:val="00EA0856"/>
    <w:rsid w:val="00EA0B79"/>
    <w:rsid w:val="00EA0ED8"/>
    <w:rsid w:val="00EB707E"/>
    <w:rsid w:val="00ED2A57"/>
    <w:rsid w:val="00ED3F19"/>
    <w:rsid w:val="00F06196"/>
    <w:rsid w:val="00F31A45"/>
    <w:rsid w:val="00F504A4"/>
    <w:rsid w:val="00F61903"/>
    <w:rsid w:val="00FB0CF1"/>
    <w:rsid w:val="00FE7202"/>
    <w:rsid w:val="00FF68B3"/>
    <w:rsid w:val="01EA3AB9"/>
    <w:rsid w:val="15576DDE"/>
    <w:rsid w:val="1B0E43F4"/>
    <w:rsid w:val="44D67180"/>
    <w:rsid w:val="50263113"/>
    <w:rsid w:val="6155013A"/>
    <w:rsid w:val="689B3620"/>
    <w:rsid w:val="7A8232FB"/>
    <w:rsid w:val="7BAC3DD9"/>
    <w:rsid w:val="7C79034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nhideWhenUsed="0" w:uiPriority="99" w:name="annotation text"/>
    <w:lsdException w:qFormat="1"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99" w:semiHidden="0" w:name="Emphasis"/>
    <w:lsdException w:qFormat="1" w:unhideWhenUsed="0"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ocument Map"/>
    <w:basedOn w:val="1"/>
    <w:link w:val="20"/>
    <w:semiHidden/>
    <w:qFormat/>
    <w:uiPriority w:val="99"/>
    <w:rPr>
      <w:rFonts w:ascii="宋体" w:hAnsi="Times New Roman"/>
      <w:sz w:val="18"/>
      <w:szCs w:val="18"/>
    </w:rPr>
  </w:style>
  <w:style w:type="paragraph" w:styleId="3">
    <w:name w:val="annotation text"/>
    <w:basedOn w:val="1"/>
    <w:link w:val="22"/>
    <w:semiHidden/>
    <w:qFormat/>
    <w:uiPriority w:val="99"/>
    <w:pPr>
      <w:jc w:val="left"/>
    </w:pPr>
    <w:rPr>
      <w:rFonts w:ascii="Times New Roman" w:hAnsi="Times New Roman" w:eastAsia="仿宋_GB2312"/>
      <w:sz w:val="32"/>
    </w:rPr>
  </w:style>
  <w:style w:type="paragraph" w:styleId="4">
    <w:name w:val="Date"/>
    <w:basedOn w:val="1"/>
    <w:next w:val="1"/>
    <w:link w:val="26"/>
    <w:semiHidden/>
    <w:uiPriority w:val="99"/>
    <w:pPr>
      <w:ind w:left="100" w:leftChars="2500"/>
    </w:pPr>
  </w:style>
  <w:style w:type="paragraph" w:styleId="5">
    <w:name w:val="Balloon Text"/>
    <w:basedOn w:val="1"/>
    <w:link w:val="24"/>
    <w:semiHidden/>
    <w:uiPriority w:val="99"/>
    <w:rPr>
      <w:rFonts w:ascii="Times New Roman" w:hAnsi="Times New Roman" w:eastAsia="仿宋_GB2312"/>
      <w:sz w:val="18"/>
      <w:szCs w:val="18"/>
    </w:rPr>
  </w:style>
  <w:style w:type="paragraph" w:styleId="6">
    <w:name w:val="footer"/>
    <w:basedOn w:val="1"/>
    <w:link w:val="16"/>
    <w:uiPriority w:val="99"/>
    <w:pPr>
      <w:tabs>
        <w:tab w:val="center" w:pos="4153"/>
        <w:tab w:val="right" w:pos="8306"/>
      </w:tabs>
      <w:snapToGrid w:val="0"/>
      <w:jc w:val="left"/>
    </w:pPr>
    <w:rPr>
      <w:sz w:val="18"/>
      <w:szCs w:val="18"/>
    </w:rPr>
  </w:style>
  <w:style w:type="paragraph" w:styleId="7">
    <w:name w:val="header"/>
    <w:basedOn w:val="1"/>
    <w:link w:val="15"/>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3"/>
    <w:next w:val="3"/>
    <w:link w:val="23"/>
    <w:semiHidden/>
    <w:qFormat/>
    <w:uiPriority w:val="99"/>
    <w:rPr>
      <w:b/>
      <w:bCs/>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page number"/>
    <w:qFormat/>
    <w:uiPriority w:val="99"/>
    <w:rPr>
      <w:rFonts w:cs="Times New Roman"/>
    </w:rPr>
  </w:style>
  <w:style w:type="character" w:styleId="13">
    <w:name w:val="Emphasis"/>
    <w:qFormat/>
    <w:uiPriority w:val="99"/>
    <w:rPr>
      <w:rFonts w:cs="Times New Roman"/>
      <w:i/>
    </w:rPr>
  </w:style>
  <w:style w:type="character" w:styleId="14">
    <w:name w:val="annotation reference"/>
    <w:semiHidden/>
    <w:qFormat/>
    <w:uiPriority w:val="99"/>
    <w:rPr>
      <w:rFonts w:cs="Times New Roman"/>
      <w:sz w:val="21"/>
    </w:rPr>
  </w:style>
  <w:style w:type="character" w:customStyle="1" w:styleId="15">
    <w:name w:val="页眉 Char"/>
    <w:link w:val="7"/>
    <w:qFormat/>
    <w:locked/>
    <w:uiPriority w:val="99"/>
    <w:rPr>
      <w:rFonts w:ascii="Calibri" w:hAnsi="Calibri" w:eastAsia="宋体" w:cs="Times New Roman"/>
      <w:sz w:val="18"/>
      <w:szCs w:val="18"/>
    </w:rPr>
  </w:style>
  <w:style w:type="character" w:customStyle="1" w:styleId="16">
    <w:name w:val="页脚 Char"/>
    <w:link w:val="6"/>
    <w:qFormat/>
    <w:locked/>
    <w:uiPriority w:val="99"/>
    <w:rPr>
      <w:rFonts w:ascii="Calibri" w:hAnsi="Calibri" w:eastAsia="宋体" w:cs="Times New Roman"/>
      <w:sz w:val="18"/>
      <w:szCs w:val="18"/>
    </w:rPr>
  </w:style>
  <w:style w:type="character" w:customStyle="1" w:styleId="17">
    <w:name w:val="页脚 字符1"/>
    <w:qFormat/>
    <w:uiPriority w:val="99"/>
    <w:rPr>
      <w:rFonts w:eastAsia="仿宋_GB2312"/>
      <w:kern w:val="2"/>
      <w:sz w:val="18"/>
    </w:rPr>
  </w:style>
  <w:style w:type="character" w:customStyle="1" w:styleId="18">
    <w:name w:val="页眉 字符1"/>
    <w:qFormat/>
    <w:uiPriority w:val="99"/>
    <w:rPr>
      <w:rFonts w:eastAsia="仿宋_GB2312"/>
      <w:kern w:val="2"/>
      <w:sz w:val="18"/>
    </w:rPr>
  </w:style>
  <w:style w:type="table" w:customStyle="1" w:styleId="19">
    <w:name w:val="网格型1"/>
    <w:qFormat/>
    <w:uiPriority w:val="99"/>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20">
    <w:name w:val="文档结构图 Char"/>
    <w:link w:val="2"/>
    <w:semiHidden/>
    <w:qFormat/>
    <w:locked/>
    <w:uiPriority w:val="99"/>
    <w:rPr>
      <w:rFonts w:ascii="宋体" w:hAnsi="Times New Roman" w:eastAsia="宋体" w:cs="Times New Roman"/>
      <w:sz w:val="18"/>
      <w:szCs w:val="18"/>
    </w:rPr>
  </w:style>
  <w:style w:type="paragraph" w:customStyle="1" w:styleId="21">
    <w:name w:val="Table Paragraph"/>
    <w:basedOn w:val="1"/>
    <w:qFormat/>
    <w:uiPriority w:val="99"/>
    <w:pPr>
      <w:autoSpaceDE w:val="0"/>
      <w:autoSpaceDN w:val="0"/>
      <w:jc w:val="left"/>
    </w:pPr>
    <w:rPr>
      <w:rFonts w:ascii="宋体" w:hAnsi="宋体" w:cs="宋体"/>
      <w:kern w:val="0"/>
      <w:sz w:val="22"/>
      <w:lang w:eastAsia="en-US"/>
    </w:rPr>
  </w:style>
  <w:style w:type="character" w:customStyle="1" w:styleId="22">
    <w:name w:val="批注文字 Char"/>
    <w:link w:val="3"/>
    <w:semiHidden/>
    <w:locked/>
    <w:uiPriority w:val="99"/>
    <w:rPr>
      <w:rFonts w:ascii="Times New Roman" w:hAnsi="Times New Roman" w:eastAsia="仿宋_GB2312" w:cs="Times New Roman"/>
      <w:sz w:val="32"/>
    </w:rPr>
  </w:style>
  <w:style w:type="character" w:customStyle="1" w:styleId="23">
    <w:name w:val="批注主题 Char"/>
    <w:link w:val="8"/>
    <w:semiHidden/>
    <w:qFormat/>
    <w:locked/>
    <w:uiPriority w:val="99"/>
    <w:rPr>
      <w:rFonts w:ascii="Times New Roman" w:hAnsi="Times New Roman" w:eastAsia="仿宋_GB2312" w:cs="Times New Roman"/>
      <w:b/>
      <w:bCs/>
      <w:sz w:val="32"/>
    </w:rPr>
  </w:style>
  <w:style w:type="character" w:customStyle="1" w:styleId="24">
    <w:name w:val="批注框文本 Char"/>
    <w:link w:val="5"/>
    <w:semiHidden/>
    <w:qFormat/>
    <w:locked/>
    <w:uiPriority w:val="99"/>
    <w:rPr>
      <w:rFonts w:ascii="Times New Roman" w:hAnsi="Times New Roman" w:eastAsia="仿宋_GB2312" w:cs="Times New Roman"/>
      <w:sz w:val="18"/>
      <w:szCs w:val="18"/>
    </w:rPr>
  </w:style>
  <w:style w:type="paragraph" w:styleId="25">
    <w:name w:val="List Paragraph"/>
    <w:basedOn w:val="1"/>
    <w:qFormat/>
    <w:uiPriority w:val="99"/>
    <w:pPr>
      <w:ind w:firstLine="420" w:firstLineChars="200"/>
    </w:pPr>
  </w:style>
  <w:style w:type="character" w:customStyle="1" w:styleId="26">
    <w:name w:val="日期 Char"/>
    <w:link w:val="4"/>
    <w:semiHidden/>
    <w:qFormat/>
    <w:locked/>
    <w:uiPriority w:val="99"/>
    <w:rPr>
      <w:rFonts w:ascii="Calibri" w:hAnsi="Calibri" w:eastAsia="宋体" w:cs="Times New Roman"/>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10</Pages>
  <Words>691</Words>
  <Characters>3939</Characters>
  <Lines>32</Lines>
  <Paragraphs>9</Paragraphs>
  <TotalTime>4</TotalTime>
  <ScaleCrop>false</ScaleCrop>
  <LinksUpToDate>false</LinksUpToDate>
  <CharactersWithSpaces>4621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2019-06-05T03:37:00Z</dcterms:created>
  <dc:creator>user</dc:creator>
  <cp:lastModifiedBy>邢安民</cp:lastModifiedBy>
  <cp:lastPrinted>2020-05-11T07:59:00Z</cp:lastPrinted>
  <dcterms:modified xsi:type="dcterms:W3CDTF">2021-06-01T07:59:40Z</dcterms:modified>
  <cp:revision>40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